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TÍTULO DEL TRABAJO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Nombre autor 1 – Nombre autor 2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color w:val="000000"/>
          <w:u w:val="single"/>
          <w:rtl w:val="0"/>
        </w:rPr>
        <w:t xml:space="preserve">dirección@autor1.com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color w:val="000000"/>
          <w:u w:val="single"/>
          <w:rtl w:val="0"/>
        </w:rPr>
        <w:t xml:space="preserve">dirección@autor2.com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Institución de referencia y país de cada autor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Modalidad: C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Nivel educativo: Seleccionar uno de los dos niveles considerados 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Palabras clave: hasta cuatro 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b w:val="1"/>
          <w:rtl w:val="0"/>
        </w:rPr>
        <w:t xml:space="preserve">Resumen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Hasta 200 palabras, en cursiva, interlineado sencillo. Debe incluir una descripción general de lo que se presenta indicando propósitos y principales resultados si se trata de una investigación o experiencia de aula.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A continuación el desarrollo del trabajo. Interlineado 1,5. Extensión máxima, incluyendo referencias bibliográficas, de 8 carillas (en caso de ser necesario incluir hasta 4 páginas de Anexos después de las Referencias). Texto justificado, sin sangrías. </w:t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Gráficas o ilustraciones: insertadas en el cuerpo del trabajo en el lugar que corresponda.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Los subtítulos deben ponerse en minúscula y en negrita.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Referencias bibliográficas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Seguir el formato APA. (Disponible en </w:t>
      </w: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https://normas-apa.org/wp-content/uploads/Guia-Normas-APA-7ma-edicion.pdf</w:t>
        </w:r>
      </w:hyperlink>
      <w:r w:rsidDel="00000000" w:rsidR="00000000" w:rsidRPr="00000000">
        <w:rPr>
          <w:rtl w:val="0"/>
        </w:rPr>
        <w:t xml:space="preserve">  )</w:t>
      </w:r>
    </w:p>
    <w:p w:rsidR="00000000" w:rsidDel="00000000" w:rsidP="00000000" w:rsidRDefault="00000000" w:rsidRPr="00000000" w14:paraId="00000015">
      <w:pPr>
        <w:shd w:fill="ffffff" w:val="clear"/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Libro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Sessa, C. (2005). </w:t>
      </w:r>
      <w:r w:rsidDel="00000000" w:rsidR="00000000" w:rsidRPr="00000000">
        <w:rPr>
          <w:i w:val="1"/>
          <w:rtl w:val="0"/>
        </w:rPr>
        <w:t xml:space="preserve">Iniciación al estudio didáctico del álgebra. Orígenes y perspectiva.</w:t>
      </w:r>
      <w:r w:rsidDel="00000000" w:rsidR="00000000" w:rsidRPr="00000000">
        <w:rPr>
          <w:rtl w:val="0"/>
        </w:rPr>
        <w:t xml:space="preserve"> Buenos Aires: Libros del Zorzal. 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Capítulo de libro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Balacheff, N. y Laborde, C. (1998). Lenguaje simbólico y pruebas en la enseñanza de las matemáticas: un enfoque sociocognitivo. En G. Mugny y J. Pérez (Eds.), Psicología social del desarrollo cognitivo, Capítulo 2, pp. 265-288. Barcelona: Anthropos. </w:t>
      </w:r>
    </w:p>
    <w:p w:rsidR="00000000" w:rsidDel="00000000" w:rsidP="00000000" w:rsidRDefault="00000000" w:rsidRPr="00000000" w14:paraId="0000001B">
      <w:pPr>
        <w:ind w:left="709" w:hanging="709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 xml:space="preserve">Artículo en revista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  <w:t xml:space="preserve">Mariotti, M. A. (2000). Introduction to proof: The mediation of dynamic software environment. Educational Studies in Mathematics, 44, 25-53. </w:t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09" w:hanging="709"/>
        <w:jc w:val="both"/>
        <w:rPr/>
      </w:pPr>
      <w:r w:rsidDel="00000000" w:rsidR="00000000" w:rsidRPr="00000000">
        <w:rPr>
          <w:b w:val="1"/>
          <w:rtl w:val="0"/>
        </w:rPr>
        <w:t xml:space="preserve">Información extraída de una página web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National Council of Teachers of Mathematics (2000). Standards and Principles for School Mathematics. </w:t>
      </w:r>
      <w:hyperlink r:id="rId7">
        <w:r w:rsidDel="00000000" w:rsidR="00000000" w:rsidRPr="00000000">
          <w:rPr>
            <w:rtl w:val="0"/>
          </w:rPr>
          <w:t xml:space="preserve">http://www.nctm.org/standards/</w:t>
        </w:r>
      </w:hyperlink>
      <w:r w:rsidDel="00000000" w:rsidR="00000000" w:rsidRPr="00000000">
        <w:rPr>
          <w:rtl w:val="0"/>
        </w:rPr>
        <w:t xml:space="preserve"> Consultado 15/12/2011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1418" w:left="1701" w:right="1701" w:header="360" w:footer="36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IV Jornadas sobre materiales para el aula de Matemáticas en Educación Infantil y Primaria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397500" cy="75565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7500" cy="7556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normas-apa.org/wp-content/uploads/Guia-Normas-APA-7ma-edicion.pdf" TargetMode="External"/><Relationship Id="rId7" Type="http://schemas.openxmlformats.org/officeDocument/2006/relationships/hyperlink" Target="http://www.nctm.org/standards/" TargetMode="Externa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